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620"/>
      </w:tblPr>
      <w:tblGrid>
        <w:gridCol w:w="3086"/>
        <w:gridCol w:w="2045"/>
        <w:gridCol w:w="3210"/>
        <w:gridCol w:w="1863"/>
      </w:tblGrid>
      <w:tr w:rsidR="00691166" w:rsidTr="00691166">
        <w:trPr>
          <w:cantSplit/>
          <w:trHeight w:hRule="exact" w:val="227"/>
        </w:trPr>
        <w:tc>
          <w:tcPr>
            <w:tcW w:w="1512" w:type="pct"/>
            <w:vAlign w:val="center"/>
          </w:tcPr>
          <w:p w:rsidR="00691166" w:rsidRDefault="00691166" w:rsidP="00D72E7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č. j.: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KUJCK </w:t>
            </w:r>
            <w:r w:rsidR="00D72E7B">
              <w:rPr>
                <w:rFonts w:cs="Arial"/>
                <w:b/>
                <w:bCs/>
                <w:sz w:val="18"/>
                <w:szCs w:val="18"/>
              </w:rPr>
              <w:t>11177</w:t>
            </w:r>
            <w:r w:rsidR="008A4CB3">
              <w:rPr>
                <w:rFonts w:cs="Arial"/>
                <w:b/>
                <w:bCs/>
                <w:sz w:val="18"/>
                <w:szCs w:val="18"/>
              </w:rPr>
              <w:t>/2011 OREG/1</w:t>
            </w:r>
            <w:r w:rsidR="00DB5880"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cs="Arial"/>
                <w:b/>
                <w:bCs/>
                <w:sz w:val="18"/>
                <w:szCs w:val="18"/>
              </w:rPr>
              <w:t>OREG/</w:t>
            </w:r>
            <w:r w:rsidR="000607E0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02" w:type="pct"/>
            <w:vAlign w:val="center"/>
          </w:tcPr>
          <w:p w:rsidR="00691166" w:rsidRDefault="00691166" w:rsidP="00ED3436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datum: </w:t>
            </w:r>
            <w:r w:rsidR="00590564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ED3436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00ED3436">
              <w:rPr>
                <w:rFonts w:cs="Arial"/>
                <w:b/>
                <w:bCs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sz w:val="18"/>
                <w:szCs w:val="18"/>
              </w:rPr>
              <w:t>. 201</w:t>
            </w:r>
            <w:r w:rsidR="00DB5880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3" w:type="pct"/>
            <w:vAlign w:val="center"/>
          </w:tcPr>
          <w:p w:rsidR="00691166" w:rsidRDefault="00691166" w:rsidP="00935D1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vyřizuje: </w:t>
            </w:r>
            <w:r>
              <w:rPr>
                <w:rFonts w:cs="Arial"/>
                <w:b/>
                <w:bCs/>
                <w:sz w:val="18"/>
                <w:szCs w:val="18"/>
              </w:rPr>
              <w:t>Ing. arch. Radek Boček</w:t>
            </w:r>
          </w:p>
        </w:tc>
        <w:tc>
          <w:tcPr>
            <w:tcW w:w="913" w:type="pct"/>
            <w:vAlign w:val="center"/>
          </w:tcPr>
          <w:p w:rsidR="00691166" w:rsidRDefault="00691166" w:rsidP="00935D1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telefon: </w:t>
            </w:r>
            <w:r>
              <w:rPr>
                <w:rFonts w:cs="Arial"/>
                <w:b/>
                <w:bCs/>
                <w:sz w:val="18"/>
                <w:szCs w:val="18"/>
              </w:rPr>
              <w:t>386 720 154</w:t>
            </w:r>
          </w:p>
        </w:tc>
      </w:tr>
    </w:tbl>
    <w:p w:rsidR="00884D71" w:rsidRDefault="00884D71">
      <w:pPr>
        <w:pStyle w:val="Zkladnodstavec"/>
        <w:rPr>
          <w:rFonts w:cs="Arial"/>
          <w:sz w:val="18"/>
          <w:szCs w:val="18"/>
        </w:rPr>
        <w:sectPr w:rsidR="00884D7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402" w:right="851" w:bottom="1843" w:left="851" w:header="57" w:footer="0" w:gutter="0"/>
          <w:cols w:space="708"/>
          <w:titlePg/>
          <w:docGrid w:linePitch="360"/>
        </w:sectPr>
      </w:pPr>
    </w:p>
    <w:p w:rsidR="00884D71" w:rsidRDefault="00884D71" w:rsidP="006E3824"/>
    <w:p w:rsidR="00B758AF" w:rsidRDefault="00B758AF" w:rsidP="006E3824"/>
    <w:p w:rsidR="00935D1E" w:rsidRDefault="00935D1E" w:rsidP="006E3824">
      <w:pPr>
        <w:sectPr w:rsidR="00935D1E">
          <w:type w:val="continuous"/>
          <w:pgSz w:w="11906" w:h="16838" w:code="9"/>
          <w:pgMar w:top="1096" w:right="851" w:bottom="1843" w:left="851" w:header="0" w:footer="0" w:gutter="0"/>
          <w:cols w:space="708"/>
          <w:formProt w:val="0"/>
          <w:titlePg/>
          <w:docGrid w:linePitch="360"/>
        </w:sectPr>
      </w:pPr>
    </w:p>
    <w:p w:rsidR="00D72E7B" w:rsidRPr="00D72E7B" w:rsidRDefault="00D72E7B" w:rsidP="002F7ED6">
      <w:pPr>
        <w:outlineLvl w:val="0"/>
        <w:rPr>
          <w:rFonts w:cs="Arial"/>
          <w:b/>
          <w:szCs w:val="18"/>
        </w:rPr>
      </w:pPr>
      <w:r w:rsidRPr="00D72E7B">
        <w:rPr>
          <w:rFonts w:cs="Arial"/>
          <w:b/>
          <w:szCs w:val="18"/>
        </w:rPr>
        <w:lastRenderedPageBreak/>
        <w:t>A+U DESIGN spol. s r.o.</w:t>
      </w:r>
    </w:p>
    <w:p w:rsidR="00D72E7B" w:rsidRPr="00D72E7B" w:rsidRDefault="00D72E7B" w:rsidP="002F7ED6">
      <w:pPr>
        <w:outlineLvl w:val="0"/>
        <w:rPr>
          <w:rFonts w:cs="Arial"/>
          <w:b/>
          <w:szCs w:val="18"/>
        </w:rPr>
      </w:pPr>
      <w:r w:rsidRPr="00D72E7B">
        <w:rPr>
          <w:rFonts w:cs="Arial"/>
          <w:b/>
          <w:szCs w:val="18"/>
        </w:rPr>
        <w:t>U Černé věže 9</w:t>
      </w:r>
    </w:p>
    <w:p w:rsidR="00803C6A" w:rsidRDefault="00D72E7B" w:rsidP="002F7ED6">
      <w:pPr>
        <w:outlineLvl w:val="0"/>
        <w:rPr>
          <w:rFonts w:cs="Arial"/>
          <w:b/>
          <w:szCs w:val="18"/>
        </w:rPr>
      </w:pPr>
      <w:r w:rsidRPr="00D72E7B">
        <w:rPr>
          <w:rFonts w:cs="Arial"/>
          <w:b/>
          <w:szCs w:val="18"/>
        </w:rPr>
        <w:t>České Budějovice</w:t>
      </w:r>
    </w:p>
    <w:p w:rsidR="00174CAF" w:rsidRDefault="00174CAF" w:rsidP="00174CAF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</w:t>
      </w:r>
    </w:p>
    <w:p w:rsidR="00174CAF" w:rsidRPr="00174CAF" w:rsidRDefault="00174CAF" w:rsidP="00174CAF">
      <w:pPr>
        <w:rPr>
          <w:rFonts w:cs="Arial"/>
          <w:b/>
          <w:szCs w:val="18"/>
        </w:rPr>
      </w:pPr>
    </w:p>
    <w:p w:rsidR="00174CAF" w:rsidRDefault="00ED3436" w:rsidP="002F7ED6">
      <w:pPr>
        <w:outlineLvl w:val="0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Částečná změna</w:t>
      </w:r>
      <w:r w:rsidR="00D72E7B">
        <w:rPr>
          <w:rFonts w:cs="Arial"/>
          <w:b/>
          <w:szCs w:val="18"/>
          <w:u w:val="single"/>
        </w:rPr>
        <w:t xml:space="preserve"> u</w:t>
      </w:r>
      <w:r w:rsidR="00D72E7B" w:rsidRPr="00D72E7B">
        <w:rPr>
          <w:rFonts w:cs="Arial"/>
          <w:b/>
          <w:szCs w:val="18"/>
          <w:u w:val="single"/>
        </w:rPr>
        <w:t>přesňující</w:t>
      </w:r>
      <w:r w:rsidR="00D72E7B">
        <w:rPr>
          <w:rFonts w:cs="Arial"/>
          <w:b/>
          <w:szCs w:val="18"/>
          <w:u w:val="single"/>
        </w:rPr>
        <w:t>ho</w:t>
      </w:r>
      <w:r w:rsidR="00D72E7B" w:rsidRPr="00D72E7B">
        <w:rPr>
          <w:rFonts w:cs="Arial"/>
          <w:b/>
          <w:szCs w:val="18"/>
          <w:u w:val="single"/>
        </w:rPr>
        <w:t xml:space="preserve"> pokyn</w:t>
      </w:r>
      <w:r w:rsidR="00D72E7B">
        <w:rPr>
          <w:rFonts w:cs="Arial"/>
          <w:b/>
          <w:szCs w:val="18"/>
          <w:u w:val="single"/>
        </w:rPr>
        <w:t>u</w:t>
      </w:r>
      <w:r w:rsidR="00D72E7B" w:rsidRPr="00D72E7B">
        <w:rPr>
          <w:rFonts w:cs="Arial"/>
          <w:b/>
          <w:szCs w:val="18"/>
          <w:u w:val="single"/>
        </w:rPr>
        <w:t xml:space="preserve"> ke schválenému zadání ÚPVÚC Jihočeského kraje</w:t>
      </w:r>
    </w:p>
    <w:p w:rsidR="00D72E7B" w:rsidRDefault="00D72E7B" w:rsidP="001F20E2">
      <w:pPr>
        <w:rPr>
          <w:rFonts w:cs="Arial"/>
          <w:b/>
          <w:szCs w:val="18"/>
          <w:u w:val="single"/>
        </w:rPr>
      </w:pPr>
    </w:p>
    <w:p w:rsidR="00D72E7B" w:rsidRDefault="00D72E7B" w:rsidP="001F20E2">
      <w:pPr>
        <w:rPr>
          <w:rFonts w:cs="Arial"/>
          <w:b/>
          <w:szCs w:val="18"/>
          <w:u w:val="single"/>
        </w:rPr>
      </w:pPr>
    </w:p>
    <w:p w:rsidR="00C03D23" w:rsidRDefault="00D72E7B" w:rsidP="001F20E2">
      <w:pPr>
        <w:rPr>
          <w:rFonts w:cs="Arial"/>
          <w:szCs w:val="18"/>
        </w:rPr>
      </w:pPr>
      <w:r>
        <w:rPr>
          <w:rFonts w:cs="Arial"/>
          <w:szCs w:val="18"/>
        </w:rPr>
        <w:t xml:space="preserve">Na základě veřejného projednání návrhu Zásad územního rozvoje (dále jen „ZÚR“) Jihočeského kraje a v rámci toho uplatněných námitek, připomínek a stanovisek a jejich návrhu vypořádání se ukázala potřeba revokovat </w:t>
      </w:r>
      <w:r w:rsidRPr="00D72E7B">
        <w:rPr>
          <w:rFonts w:cs="Arial"/>
          <w:szCs w:val="18"/>
        </w:rPr>
        <w:t>upřesňující</w:t>
      </w:r>
      <w:r>
        <w:rPr>
          <w:rFonts w:cs="Arial"/>
          <w:szCs w:val="18"/>
        </w:rPr>
        <w:t xml:space="preserve"> pokyn</w:t>
      </w:r>
      <w:r w:rsidRPr="00D72E7B">
        <w:rPr>
          <w:rFonts w:cs="Arial"/>
          <w:szCs w:val="18"/>
        </w:rPr>
        <w:t xml:space="preserve"> ke schválenému zadání </w:t>
      </w:r>
      <w:r>
        <w:rPr>
          <w:rFonts w:cs="Arial"/>
          <w:szCs w:val="18"/>
        </w:rPr>
        <w:t>územního plánu velkého územního celku (dále jen a v nadpisu „</w:t>
      </w:r>
      <w:r w:rsidRPr="00D72E7B">
        <w:rPr>
          <w:rFonts w:cs="Arial"/>
          <w:szCs w:val="18"/>
        </w:rPr>
        <w:t>ÚPVÚC</w:t>
      </w:r>
      <w:r>
        <w:rPr>
          <w:rFonts w:cs="Arial"/>
          <w:szCs w:val="18"/>
        </w:rPr>
        <w:t>“)</w:t>
      </w:r>
      <w:r w:rsidRPr="00D72E7B">
        <w:rPr>
          <w:rFonts w:cs="Arial"/>
          <w:szCs w:val="18"/>
        </w:rPr>
        <w:t xml:space="preserve"> Jihočeského kraje</w:t>
      </w:r>
      <w:r>
        <w:rPr>
          <w:rFonts w:cs="Arial"/>
          <w:szCs w:val="18"/>
        </w:rPr>
        <w:t xml:space="preserve"> v těchto bodech:</w:t>
      </w:r>
    </w:p>
    <w:p w:rsidR="00D72E7B" w:rsidRDefault="00D72E7B" w:rsidP="001F20E2">
      <w:pPr>
        <w:rPr>
          <w:rFonts w:cs="Arial"/>
          <w:szCs w:val="18"/>
        </w:rPr>
      </w:pPr>
    </w:p>
    <w:p w:rsidR="00D72E7B" w:rsidRDefault="00D72E7B" w:rsidP="00D72E7B">
      <w:pPr>
        <w:pStyle w:val="Normlnslovan"/>
      </w:pPr>
      <w:r>
        <w:t xml:space="preserve">Bod 2. písm. a. - </w:t>
      </w:r>
      <w:r w:rsidRPr="00D72E7B">
        <w:t>Posouzení a stanovení priorit územního plánování kraje bude vycházet</w:t>
      </w:r>
      <w:r>
        <w:t xml:space="preserve"> ze schválené Politiky územního rozvoje ČR 2008, tj. schválené usnesením vlády ČR č. 929 ze dne 20. 7. 2009 (dále jen „PÚR ČR 2008“), namísto předchozí politiky schválené v roce 2006.</w:t>
      </w:r>
    </w:p>
    <w:p w:rsidR="00D72E7B" w:rsidRDefault="00D72E7B" w:rsidP="00D72E7B">
      <w:pPr>
        <w:pStyle w:val="Normlnslovan"/>
      </w:pPr>
      <w:r>
        <w:t xml:space="preserve">Bod 2. písm. b. - </w:t>
      </w:r>
      <w:r w:rsidRPr="00D72E7B">
        <w:t>Jako základní informační zdroj pro stanovení priorit územního plánování Jihočeského kraje bude sloužit</w:t>
      </w:r>
      <w:r>
        <w:t xml:space="preserve"> kapitola 2. REPUBLIKOVÉ PRIORITY ÚZEMNÍHO PLÁNOVÁNÍ PRO ZAJIŠTĚNÍ UDRŽITELNÉHO ROZVOJE ÚZEMÍ dle PÚR ČR 2008.</w:t>
      </w:r>
    </w:p>
    <w:p w:rsidR="00D72E7B" w:rsidRDefault="00D72E7B" w:rsidP="00D72E7B">
      <w:pPr>
        <w:pStyle w:val="Normlnslovan"/>
      </w:pPr>
      <w:r>
        <w:t>Bod 3. písm. a. – Z PÚR ČR 2008 bude jako republiková rozvojová oblast převzata rozvojová oblast OB10 České Budějovice dle článku (49) PÚR ČR 2008 a rozvojová osa republikového významu OS6 Praha – Benešov – Tábor – České Budějovice – hranice ČR/ Rakousko (-Linz) dle článku (57) PÚR ČR 2008.</w:t>
      </w:r>
    </w:p>
    <w:p w:rsidR="00D72E7B" w:rsidRDefault="00D72E7B" w:rsidP="00D72E7B">
      <w:pPr>
        <w:pStyle w:val="Normlnslovan"/>
      </w:pPr>
      <w:r>
        <w:t xml:space="preserve">Bod 4. písm. a. – </w:t>
      </w:r>
      <w:r w:rsidRPr="00D72E7B">
        <w:t>PÚR</w:t>
      </w:r>
      <w:r>
        <w:t xml:space="preserve"> ČR 2008</w:t>
      </w:r>
      <w:r w:rsidRPr="00D72E7B">
        <w:t xml:space="preserve"> je na území Jihočeského kraje řešena v odst. (6</w:t>
      </w:r>
      <w:r>
        <w:t>9</w:t>
      </w:r>
      <w:r w:rsidRPr="00D72E7B">
        <w:t>) jediná specifická oblast SOB1 - Specifická oblast Šumava.</w:t>
      </w:r>
    </w:p>
    <w:p w:rsidR="00D72E7B" w:rsidRDefault="00D72E7B" w:rsidP="00D72E7B">
      <w:pPr>
        <w:pStyle w:val="Normlnslovan"/>
      </w:pPr>
      <w:r>
        <w:t>Bod 4. písm. b. – specifické oblasti nadmístního významu Orlicko a Třeboňsko-Novohradsko jsou na základě vymezení v ZÚR kraje Vysočina a návrhu ZÚR Středočeského kraje (dále též „STČ“) doplněny o specifickou oblast nadmístního významu N-SOB3 Pacovsko.</w:t>
      </w:r>
    </w:p>
    <w:p w:rsidR="00D72E7B" w:rsidRDefault="00D72E7B" w:rsidP="00D72E7B">
      <w:pPr>
        <w:pStyle w:val="Normlnslovan"/>
      </w:pPr>
      <w:r>
        <w:t xml:space="preserve">Bod 5. – příslušné stavby dopravní a technické infrastruktury budou převzaty dle PÚR ČR 2008, z kapitol 5 Koridory a plochy dopravní infrastruktury a 6 Koridory technické infrastruktury a souvisejících rozvojových záměrů. Jedná se o body 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(81), kód M1, multimodální koridor M1 Praha – České Budějovice – hranice ČR/ Rakousko,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(85), kód C-E551, železnice Praha – Benešov – Veselí nad Lužnicí – České Budějovice – Horní Dvořiště – hranice ČR/Rakousko (tzv. IV. TŽK),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(92), kód ŽD4, železnice Plzeň – České Budějovice,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(93), kód ŽD5, železnice Veselí nad Lužnicí – Třeboň – České Velenice – hranice ČR/Rakousko,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 xml:space="preserve">(98), kód D3, dálnice D3, úsek hranice se STČ krajem – Dolní Třebonín, 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lastRenderedPageBreak/>
        <w:t>(102), kód R3, rychlostní silnice R3, úsek Dolní Třebonín – hranice ČR/Rakousko,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(107), kód R4, rychlostní silnice R4, úsek hranice se STČ krajem – Nová Hospoda,</w:t>
      </w:r>
    </w:p>
    <w:p w:rsidR="00D72E7B" w:rsidRDefault="00D72E7B" w:rsidP="00D72E7B">
      <w:pPr>
        <w:pStyle w:val="Normlnslovan"/>
        <w:numPr>
          <w:ilvl w:val="1"/>
          <w:numId w:val="17"/>
        </w:numPr>
      </w:pPr>
      <w:r>
        <w:t>(112), kód S3, kapacitní silnice I/4 v úseku Nová Hospoda – hranice ČR/Německo,</w:t>
      </w:r>
    </w:p>
    <w:p w:rsidR="00D72E7B" w:rsidRDefault="004B45C9" w:rsidP="00D72E7B">
      <w:pPr>
        <w:pStyle w:val="Normlnslovan"/>
        <w:numPr>
          <w:ilvl w:val="1"/>
          <w:numId w:val="17"/>
        </w:numPr>
      </w:pPr>
      <w:r>
        <w:t>(122), kód S13, alternativní spojení západní hranice ČR s východem jižně od D1,</w:t>
      </w:r>
    </w:p>
    <w:p w:rsidR="004B45C9" w:rsidRDefault="004B45C9" w:rsidP="00D72E7B">
      <w:pPr>
        <w:pStyle w:val="Normlnslovan"/>
        <w:numPr>
          <w:ilvl w:val="1"/>
          <w:numId w:val="17"/>
        </w:numPr>
      </w:pPr>
      <w:r>
        <w:t>(127), kód VD5, vodní cesta Vltava, vymezení v úseku hranice se STČ krajem – České Budějovice,</w:t>
      </w:r>
    </w:p>
    <w:p w:rsidR="004B45C9" w:rsidRDefault="004B45C9" w:rsidP="00D72E7B">
      <w:pPr>
        <w:pStyle w:val="Normlnslovan"/>
        <w:numPr>
          <w:ilvl w:val="1"/>
          <w:numId w:val="17"/>
        </w:numPr>
      </w:pPr>
      <w:r>
        <w:t>(130), veřejné logistické centrum na Českobudějovicku,</w:t>
      </w:r>
    </w:p>
    <w:p w:rsidR="004B45C9" w:rsidRDefault="004B45C9" w:rsidP="00D72E7B">
      <w:pPr>
        <w:pStyle w:val="Normlnslovan"/>
        <w:numPr>
          <w:ilvl w:val="1"/>
          <w:numId w:val="17"/>
        </w:numPr>
      </w:pPr>
      <w:r>
        <w:t>(133), kód L3, nové mezinárodní letiště České Budějovice</w:t>
      </w:r>
      <w:r w:rsidR="002F7ED6">
        <w:t>,</w:t>
      </w:r>
    </w:p>
    <w:p w:rsidR="002F7ED6" w:rsidRDefault="002F7ED6" w:rsidP="00D72E7B">
      <w:pPr>
        <w:pStyle w:val="Normlnslovan"/>
        <w:numPr>
          <w:ilvl w:val="1"/>
          <w:numId w:val="17"/>
        </w:numPr>
      </w:pPr>
      <w:r>
        <w:t>(142), kód E4a, vymezení ploch pro rozšíření včetně vyvedení elektrického a tepleného výkonu elektrárny Temelín,</w:t>
      </w:r>
    </w:p>
    <w:p w:rsidR="002F7ED6" w:rsidRDefault="002F7ED6" w:rsidP="00D72E7B">
      <w:pPr>
        <w:pStyle w:val="Normlnslovan"/>
        <w:numPr>
          <w:ilvl w:val="1"/>
          <w:numId w:val="17"/>
        </w:numPr>
      </w:pPr>
      <w:r>
        <w:t>(147), kód E7, koridor pro dvojité vedení 400kV Kočín – Mírovka,</w:t>
      </w:r>
    </w:p>
    <w:p w:rsidR="002F7ED6" w:rsidRDefault="002F7ED6" w:rsidP="00D72E7B">
      <w:pPr>
        <w:pStyle w:val="Normlnslovan"/>
        <w:numPr>
          <w:ilvl w:val="1"/>
          <w:numId w:val="17"/>
        </w:numPr>
      </w:pPr>
      <w:r>
        <w:t>(151), kód P1, koridor pro propojovací plynovod VVTL DN 800 PN 80 v úseku Záboří (ORP Vodňany) – hranice ČR/Rakousko,</w:t>
      </w:r>
    </w:p>
    <w:p w:rsidR="002F7ED6" w:rsidRDefault="002F7ED6" w:rsidP="00D72E7B">
      <w:pPr>
        <w:pStyle w:val="Normlnslovan"/>
        <w:numPr>
          <w:ilvl w:val="1"/>
          <w:numId w:val="17"/>
        </w:numPr>
      </w:pPr>
      <w:r>
        <w:t>(167), kód LAPV, lokality pro akumulaci povrchových vod budou vymezeny na základě dohody s Ministerstvem zemědělství jako tzv. územní rezervy a v počtu lokalit dle uzavřené dohody,</w:t>
      </w:r>
    </w:p>
    <w:p w:rsidR="002F7ED6" w:rsidRDefault="002F7ED6" w:rsidP="00D72E7B">
      <w:pPr>
        <w:pStyle w:val="Normlnslovan"/>
        <w:numPr>
          <w:ilvl w:val="1"/>
          <w:numId w:val="17"/>
        </w:numPr>
      </w:pPr>
      <w:r>
        <w:t>(169), kód Sk1, vzhledem k nejednoznačnosti vymezení potřebné lokality pro trvalé úložiště radioaktivního odpadu nebude nyní v návrhu ZÚR vymezována plocha pro tento záměr ani jako návrhová plocha republikového významu přebíraná z PÚR ČR 2008 ani jako územní rezerva.</w:t>
      </w:r>
    </w:p>
    <w:p w:rsidR="002F7ED6" w:rsidRDefault="002F7ED6" w:rsidP="002F7ED6">
      <w:pPr>
        <w:pStyle w:val="Normlnslovan"/>
      </w:pPr>
      <w:r>
        <w:t xml:space="preserve">Bod 7. – je doplněn o písm. d. v tomto znění: „Při vymezování cílových charakteristik krajiny bude využit jako podklad materiál </w:t>
      </w:r>
      <w:r w:rsidRPr="002F7ED6">
        <w:t>Generel krajinného rázu Jihočeského kraje</w:t>
      </w:r>
      <w:r>
        <w:t>.</w:t>
      </w:r>
    </w:p>
    <w:p w:rsidR="002F7ED6" w:rsidRDefault="002F7ED6" w:rsidP="002F7ED6">
      <w:pPr>
        <w:pStyle w:val="Normlnslovan"/>
      </w:pPr>
      <w:r>
        <w:t xml:space="preserve">Bod 23. písm. a. – úkol popsat </w:t>
      </w:r>
      <w:r w:rsidRPr="002F7ED6">
        <w:t>hierarchii rekreačních středisek z hlediska jejich vybavenosti</w:t>
      </w:r>
      <w:r>
        <w:t xml:space="preserve"> byl realizován v navazujících a nyní již pořízených územních studiích Šumava, Orlicko, Třeboňsko-Novohradsko a Vltavy v úseku Týn nad Vltavou – České Budějovice. Z důvodu neexistence příslušné kapitoly v osnově výrokové části návrhu Zásad územního rozvoje dle přílohy č. 4 vyhlášky 500/2006 Sb. se tento bod při tvorbě návrhu ZÚR nepoužije.</w:t>
      </w:r>
    </w:p>
    <w:p w:rsidR="002F7ED6" w:rsidRDefault="002F7ED6" w:rsidP="002F7ED6">
      <w:pPr>
        <w:pStyle w:val="Normlnslovan"/>
      </w:pPr>
      <w:r>
        <w:t>Bod 23. písm. b. – koupací oblasti, vzhledem k velké podrobnosti tohoto jevu, která neodpovídá obsahu ZÚR, nebudou v návrhu vymezovány.</w:t>
      </w:r>
    </w:p>
    <w:p w:rsidR="002F7ED6" w:rsidRDefault="002F7ED6" w:rsidP="002F7ED6">
      <w:pPr>
        <w:pStyle w:val="Normlnslovan"/>
      </w:pPr>
      <w:r>
        <w:t>Bod 23. písm. c. – hraniční přechody, vzhledem k velké podrobnosti tohoto bodového jevu</w:t>
      </w:r>
      <w:r w:rsidR="004C2FEC">
        <w:t>,</w:t>
      </w:r>
      <w:r>
        <w:t xml:space="preserve"> </w:t>
      </w:r>
      <w:r w:rsidR="004C2FEC">
        <w:t xml:space="preserve">která neodpovídá obsahu ZÚR, </w:t>
      </w:r>
      <w:r>
        <w:t>a vstupu ČR do Schengenského prostoru</w:t>
      </w:r>
      <w:r w:rsidR="004C2FEC">
        <w:t xml:space="preserve"> </w:t>
      </w:r>
      <w:r>
        <w:t>nebudou v návrhu vymezovány.</w:t>
      </w:r>
    </w:p>
    <w:p w:rsidR="002F7ED6" w:rsidRDefault="002F7ED6" w:rsidP="002F7ED6">
      <w:pPr>
        <w:pStyle w:val="Normlnslovan"/>
      </w:pPr>
      <w:r>
        <w:t>Bod 24. písm. c., první odrážka – plochy záboru ZPF budou v dohodě s územním pracovištěm MŽP u vymezených ploch nadmístního významu počítány jako nejvyšší možné.</w:t>
      </w:r>
    </w:p>
    <w:p w:rsidR="002F7ED6" w:rsidRDefault="002F7ED6" w:rsidP="002F7ED6">
      <w:pPr>
        <w:pStyle w:val="Normlnslovan"/>
      </w:pPr>
      <w:r>
        <w:t>Bod 25. písm. a. – na základě vypořádání námitky některých měst budou za plochy nadmístního významu pro podnikání a bydlení považovány plochy nad 50ha.</w:t>
      </w:r>
    </w:p>
    <w:p w:rsidR="002F7ED6" w:rsidRDefault="002F7ED6" w:rsidP="002F7ED6">
      <w:pPr>
        <w:pStyle w:val="Normlnslovan"/>
      </w:pPr>
      <w:r>
        <w:t>Bod 25. písm. e., první odrážka – lyžařský areál Smrčina bude řešen jako záměr „Propojení Klápa – Hraničník“ dle dohody uzavřené s</w:t>
      </w:r>
      <w:r w:rsidR="00590564">
        <w:t> </w:t>
      </w:r>
      <w:r>
        <w:t>M</w:t>
      </w:r>
      <w:r w:rsidR="00590564">
        <w:t>ŽP.</w:t>
      </w:r>
    </w:p>
    <w:p w:rsidR="00590564" w:rsidRDefault="002F7ED6" w:rsidP="002F7ED6">
      <w:pPr>
        <w:pStyle w:val="Normlnslovan"/>
      </w:pPr>
      <w:r>
        <w:t xml:space="preserve">Bod 26, písm. a., druhá odrážka – řešení IV. TŽK bude vycházet jižně od Českých Budějovic z tzv. optimalizované </w:t>
      </w:r>
      <w:r w:rsidR="00590564">
        <w:t>kaplické varianty, kdy vymezení koridoru bude upraveno dle vypořádání uplatněných námitek, připomínek a stanovisek.</w:t>
      </w:r>
    </w:p>
    <w:p w:rsidR="002F7ED6" w:rsidRDefault="00590564" w:rsidP="002F7ED6">
      <w:pPr>
        <w:pStyle w:val="Normlnslovan"/>
      </w:pPr>
      <w:r>
        <w:lastRenderedPageBreak/>
        <w:t xml:space="preserve">Bod 26, písm. c., třetí odrážka – </w:t>
      </w:r>
      <w:r w:rsidRPr="00590564">
        <w:t>v návrhu ZÚR bude nadále počítáno s obnovením obnovení mezinárodního železničního propojení Slavonice – Fratres</w:t>
      </w:r>
      <w:r>
        <w:t>, tj. již nebude navrženo propojení Nové Údolí – Haidmühle,</w:t>
      </w:r>
    </w:p>
    <w:p w:rsidR="00590564" w:rsidRDefault="00590564" w:rsidP="002F7ED6">
      <w:pPr>
        <w:pStyle w:val="Normlnslovan"/>
      </w:pPr>
      <w:r>
        <w:t xml:space="preserve">Bod 27., písm. b., 4. odrážka – řešení obchvatu Strakonic bude vycházet ze </w:t>
      </w:r>
      <w:r w:rsidRPr="00590564">
        <w:t xml:space="preserve">zpracované </w:t>
      </w:r>
      <w:r>
        <w:t xml:space="preserve">ověřovací </w:t>
      </w:r>
      <w:r w:rsidRPr="00590564">
        <w:t xml:space="preserve">studie </w:t>
      </w:r>
      <w:r>
        <w:t>pořízené Krajským úřadem na základě úkolu z PÚR ČR 2008 u bodu (112) zpracované v roce 2010 společností PRAGOPROJEKT.</w:t>
      </w:r>
    </w:p>
    <w:p w:rsidR="00590564" w:rsidRDefault="00590564" w:rsidP="002F7ED6">
      <w:pPr>
        <w:pStyle w:val="Normlnslovan"/>
      </w:pPr>
      <w:r>
        <w:t>Bod 27., písm. b., poslední odrážka – ustanovení o tunelovém úseku na I/4 pod obcí Kubova Huť se nepoužije vzhledem k vyhovení požadavku Ministerstva dopravy závazně nevymezovat tunelové úseku a mimoúrovňové křižovatky.</w:t>
      </w:r>
    </w:p>
    <w:p w:rsidR="00590564" w:rsidRPr="00975E8E" w:rsidRDefault="00590564" w:rsidP="00590564">
      <w:pPr>
        <w:pStyle w:val="Normlnslovan"/>
        <w:rPr>
          <w:szCs w:val="20"/>
        </w:rPr>
      </w:pPr>
      <w:r w:rsidRPr="00975E8E">
        <w:rPr>
          <w:szCs w:val="20"/>
        </w:rPr>
        <w:t xml:space="preserve">Bod 27., písm. f., první odrážka – text se </w:t>
      </w:r>
      <w:r w:rsidR="00F56B51">
        <w:rPr>
          <w:szCs w:val="20"/>
        </w:rPr>
        <w:t>mění</w:t>
      </w:r>
      <w:r w:rsidRPr="00975E8E">
        <w:rPr>
          <w:szCs w:val="20"/>
        </w:rPr>
        <w:t xml:space="preserve"> takto: „</w:t>
      </w:r>
      <w:r w:rsidR="00975E8E" w:rsidRPr="00975E8E">
        <w:rPr>
          <w:szCs w:val="20"/>
        </w:rPr>
        <w:t>předmětem návrhu ZÚR bude i řešení silnic II. třídy; v případě, že návrhem ZÚR silnice II. třídy řešena nebude, může obec ve své ÚPD vymezit nové řešení pouze tehdy, pokud krajský úřad ve svém stanovisku nestanoví, že se jedná o záměr nadmístního významu, který je třeba před vymezením v ÚP vymezit v ZÚR</w:t>
      </w:r>
      <w:r w:rsidRPr="00975E8E">
        <w:rPr>
          <w:szCs w:val="20"/>
        </w:rPr>
        <w:t>.“</w:t>
      </w:r>
    </w:p>
    <w:p w:rsidR="00590564" w:rsidRDefault="00590564" w:rsidP="002F7ED6">
      <w:pPr>
        <w:pStyle w:val="Normlnslovan"/>
      </w:pPr>
      <w:r>
        <w:t>Bod 27., písm. g., poslední odrážka – text se nahrazuje takto: „řešení silnice Rudolfov – Hůry bude předmětem návrhu ZÚR JČK“.</w:t>
      </w:r>
    </w:p>
    <w:p w:rsidR="004C2FEC" w:rsidRDefault="004C2FEC" w:rsidP="004C2FEC">
      <w:pPr>
        <w:pStyle w:val="Normlnslovan"/>
      </w:pPr>
      <w:r>
        <w:t>Bod 27., písm. i., třetí odrážka – text týkající se napojení VLC České Budějovice (Nemanice) se pro nadměrnou podrobnost nepoužije.</w:t>
      </w:r>
    </w:p>
    <w:p w:rsidR="00590564" w:rsidRDefault="00590564" w:rsidP="002F7ED6">
      <w:pPr>
        <w:pStyle w:val="Normlnslovan"/>
      </w:pPr>
      <w:r>
        <w:t>Bod 29. – lokality pro akumulaci povrchových vod budou vymezeny v souladu s uzavřenou dohodou nad vypořádáním stanovisek dotčených orgánů.</w:t>
      </w:r>
    </w:p>
    <w:p w:rsidR="004C2FEC" w:rsidRDefault="004C2FEC" w:rsidP="004C2FEC">
      <w:pPr>
        <w:pStyle w:val="Normlnslovan"/>
        <w:numPr>
          <w:ilvl w:val="0"/>
          <w:numId w:val="0"/>
        </w:numPr>
      </w:pPr>
    </w:p>
    <w:p w:rsidR="004C2FEC" w:rsidRDefault="004C2FEC" w:rsidP="004C2FEC">
      <w:pPr>
        <w:pStyle w:val="Normlnslovan"/>
        <w:numPr>
          <w:ilvl w:val="0"/>
          <w:numId w:val="0"/>
        </w:numPr>
      </w:pPr>
    </w:p>
    <w:p w:rsidR="004C2FEC" w:rsidRDefault="004C2FEC" w:rsidP="004C2FEC">
      <w:pPr>
        <w:pStyle w:val="Normlnslovan"/>
        <w:numPr>
          <w:ilvl w:val="0"/>
          <w:numId w:val="0"/>
        </w:numPr>
      </w:pPr>
    </w:p>
    <w:p w:rsidR="004C2FEC" w:rsidRDefault="004C2FEC" w:rsidP="004C2FEC">
      <w:pPr>
        <w:pStyle w:val="Normlnslovan"/>
        <w:numPr>
          <w:ilvl w:val="0"/>
          <w:numId w:val="0"/>
        </w:numPr>
      </w:pPr>
    </w:p>
    <w:p w:rsidR="004C2FEC" w:rsidRDefault="004C2FEC" w:rsidP="004C2FEC">
      <w:pPr>
        <w:pStyle w:val="Normlnslovan"/>
        <w:numPr>
          <w:ilvl w:val="0"/>
          <w:numId w:val="0"/>
        </w:numPr>
      </w:pPr>
    </w:p>
    <w:p w:rsidR="004C2FEC" w:rsidRDefault="004C2FEC" w:rsidP="004C2FEC">
      <w:pPr>
        <w:tabs>
          <w:tab w:val="left" w:pos="5103"/>
        </w:tabs>
      </w:pPr>
      <w:r>
        <w:t>Ing. Daniela Řežábková</w:t>
      </w:r>
    </w:p>
    <w:p w:rsidR="004C2FEC" w:rsidRDefault="004C2FEC" w:rsidP="004C2FEC">
      <w:pPr>
        <w:tabs>
          <w:tab w:val="left" w:pos="5103"/>
        </w:tabs>
      </w:pPr>
      <w:r>
        <w:t xml:space="preserve">odbor regionálního rozvoje,  </w:t>
      </w:r>
    </w:p>
    <w:p w:rsidR="004C2FEC" w:rsidRDefault="004C2FEC" w:rsidP="004C2FEC">
      <w:pPr>
        <w:tabs>
          <w:tab w:val="left" w:pos="5103"/>
        </w:tabs>
      </w:pPr>
      <w:r>
        <w:t>územního plánování, stavebního řádu a investic,</w:t>
      </w:r>
    </w:p>
    <w:p w:rsidR="004C2FEC" w:rsidRDefault="004C2FEC" w:rsidP="004C2FEC">
      <w:pPr>
        <w:tabs>
          <w:tab w:val="left" w:pos="5103"/>
        </w:tabs>
      </w:pPr>
      <w:r>
        <w:t>vedoucí oddělení územního plánování</w:t>
      </w:r>
    </w:p>
    <w:p w:rsidR="004C2FEC" w:rsidRDefault="004C2FEC" w:rsidP="004C2FEC">
      <w:pPr>
        <w:pStyle w:val="Normlnslovan"/>
        <w:numPr>
          <w:ilvl w:val="0"/>
          <w:numId w:val="0"/>
        </w:numPr>
      </w:pPr>
    </w:p>
    <w:sectPr w:rsidR="004C2FEC" w:rsidSect="008C22E6">
      <w:type w:val="continuous"/>
      <w:pgSz w:w="11906" w:h="16838" w:code="9"/>
      <w:pgMar w:top="1096" w:right="851" w:bottom="1843" w:left="85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0" w:rsidRDefault="002418C0">
      <w:r>
        <w:separator/>
      </w:r>
    </w:p>
  </w:endnote>
  <w:endnote w:type="continuationSeparator" w:id="0">
    <w:p w:rsidR="002418C0" w:rsidRDefault="0024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7B" w:rsidRDefault="00055A4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-.8pt;margin-top:-54.7pt;width:513.75pt;height:36pt;z-index:251658240;mso-width-relative:margin;mso-height-relative:margin" fillcolor="#bfbfbf" stroked="f">
          <v:textbox style="mso-next-textbox:#_x0000_s2087">
            <w:txbxContent>
              <w:p w:rsidR="00D72E7B" w:rsidRDefault="00D72E7B">
                <w:pPr>
                  <w:pStyle w:val="Zkladnodstavec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U Zimního stadionu 1952/2, 370 76 České Budějovice, tel.: 386 720 111, fax: 386 359 004</w:t>
                </w:r>
              </w:p>
              <w:p w:rsidR="00D72E7B" w:rsidRDefault="00D72E7B">
                <w:pPr>
                  <w:pStyle w:val="Zkladnodstavec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e-podatelna: posta@kraj-jihocesky.cz,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left:0;text-align:left;margin-left:0;margin-top:-18.85pt;width:513.75pt;height:28.5pt;z-index:251660288;mso-width-relative:margin;mso-height-relative:margin" filled="f" stroked="f">
          <v:textbox style="mso-next-textbox:#_x0000_s2089">
            <w:txbxContent>
              <w:p w:rsidR="00D72E7B" w:rsidRDefault="00D72E7B">
                <w:pPr>
                  <w:jc w:val="center"/>
                </w:pPr>
                <w:r>
                  <w:rPr>
                    <w:rFonts w:cs="Arial"/>
                    <w:sz w:val="16"/>
                    <w:szCs w:val="16"/>
                  </w:rPr>
                  <w:t xml:space="preserve">Stránka </w:t>
                </w:r>
                <w:r w:rsidR="00055A45">
                  <w:rPr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="00055A45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3C718C">
                  <w:rPr>
                    <w:rFonts w:cs="Arial"/>
                    <w:noProof/>
                    <w:sz w:val="16"/>
                    <w:szCs w:val="16"/>
                  </w:rPr>
                  <w:t>3</w:t>
                </w:r>
                <w:r w:rsidR="00055A45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  <w:p w:rsidR="00D72E7B" w:rsidRDefault="00D72E7B">
                <w:pPr>
                  <w:pStyle w:val="Zkladnodstavec"/>
                  <w:jc w:val="center"/>
                  <w:rPr>
                    <w:rFonts w:cs="Arial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7B" w:rsidRDefault="00055A45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0;margin-top:-54.7pt;width:513.75pt;height:36pt;z-index:251657216;mso-width-relative:margin;mso-height-relative:margin" fillcolor="#bfbfbf" stroked="f">
          <v:textbox style="mso-next-textbox:#_x0000_s2086">
            <w:txbxContent>
              <w:p w:rsidR="00D72E7B" w:rsidRDefault="00D72E7B">
                <w:pPr>
                  <w:pStyle w:val="Zkladnodstavec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U Zimního stadionu 1952/2, 370 76 České Budějovice, tel.: 386 720 111, fax: 386 359 004</w:t>
                </w:r>
              </w:p>
              <w:p w:rsidR="00D72E7B" w:rsidRDefault="00D72E7B">
                <w:pPr>
                  <w:pStyle w:val="Zkladnodstavec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e-podatelna: posta@kraj-jihocesky.cz,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_x0000_s2088" type="#_x0000_t202" style="position:absolute;left:0;text-align:left;margin-left:0;margin-top:-18.85pt;width:513.75pt;height:28.5pt;z-index:251659264;mso-width-relative:margin;mso-height-relative:margin" filled="f" stroked="f">
          <v:textbox style="mso-next-textbox:#_x0000_s2088">
            <w:txbxContent>
              <w:p w:rsidR="00D72E7B" w:rsidRDefault="00D72E7B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</w:rPr>
                  <w:t xml:space="preserve">Stránka </w:t>
                </w:r>
                <w:r w:rsidR="00055A45">
                  <w:rPr>
                    <w:rFonts w:cs="Arial"/>
                    <w:sz w:val="16"/>
                  </w:rPr>
                  <w:fldChar w:fldCharType="begin"/>
                </w:r>
                <w:r>
                  <w:rPr>
                    <w:rFonts w:cs="Arial"/>
                    <w:sz w:val="16"/>
                  </w:rPr>
                  <w:instrText>PAGE</w:instrText>
                </w:r>
                <w:r w:rsidR="00055A45">
                  <w:rPr>
                    <w:rFonts w:cs="Arial"/>
                    <w:sz w:val="16"/>
                  </w:rPr>
                  <w:fldChar w:fldCharType="separate"/>
                </w:r>
                <w:r w:rsidR="003C718C">
                  <w:rPr>
                    <w:rFonts w:cs="Arial"/>
                    <w:noProof/>
                    <w:sz w:val="16"/>
                  </w:rPr>
                  <w:t>1</w:t>
                </w:r>
                <w:r w:rsidR="00055A45">
                  <w:rPr>
                    <w:rFonts w:cs="Arial"/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0" w:rsidRDefault="002418C0">
      <w:r>
        <w:separator/>
      </w:r>
    </w:p>
  </w:footnote>
  <w:footnote w:type="continuationSeparator" w:id="0">
    <w:p w:rsidR="002418C0" w:rsidRDefault="0024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7B" w:rsidRDefault="00055A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left:0;text-align:left;margin-left:0;margin-top:0;width:593.65pt;height:593.75pt;z-index:-25166028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7B" w:rsidRDefault="00D72E7B">
    <w:pPr>
      <w:pStyle w:val="Zhlav"/>
      <w:ind w:left="-851"/>
    </w:pPr>
  </w:p>
  <w:p w:rsidR="00D72E7B" w:rsidRDefault="00D72E7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7B" w:rsidRDefault="00055A45">
    <w:pPr>
      <w:pStyle w:val="Zhlav"/>
      <w:ind w:left="-851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-.4pt;margin-top:109.9pt;width:514.15pt;height:48.75pt;z-index:251655168;mso-position-vertical-relative:page;mso-width-relative:margin;mso-height-relative:margin" fillcolor="#d8d8d8" strokecolor="#d8d8d8">
          <v:textbox style="mso-next-textbox:#_x0000_s2070">
            <w:txbxContent>
              <w:p w:rsidR="00D72E7B" w:rsidRDefault="00D72E7B">
                <w:pPr>
                  <w:jc w:val="center"/>
                  <w:rPr>
                    <w:rFonts w:cs="Arial"/>
                    <w:iCs/>
                    <w:caps/>
                    <w:spacing w:val="46"/>
                  </w:rPr>
                </w:pPr>
                <w:r>
                  <w:rPr>
                    <w:rFonts w:cs="Arial"/>
                    <w:iCs/>
                    <w:caps/>
                    <w:spacing w:val="46"/>
                  </w:rPr>
                  <w:t xml:space="preserve">Odbor regionálního rozvoje, územního plánování, </w:t>
                </w:r>
              </w:p>
              <w:p w:rsidR="00D72E7B" w:rsidRDefault="00D72E7B">
                <w:pPr>
                  <w:jc w:val="center"/>
                  <w:rPr>
                    <w:rFonts w:cs="Arial"/>
                    <w:iCs/>
                    <w:caps/>
                    <w:spacing w:val="46"/>
                  </w:rPr>
                </w:pPr>
                <w:r>
                  <w:rPr>
                    <w:rFonts w:cs="Arial"/>
                    <w:iCs/>
                    <w:caps/>
                    <w:spacing w:val="46"/>
                  </w:rPr>
                  <w:t>stavebního řádu a investic</w:t>
                </w:r>
              </w:p>
              <w:p w:rsidR="00D72E7B" w:rsidRDefault="00D72E7B" w:rsidP="00904536">
                <w:pPr>
                  <w:spacing w:before="120"/>
                  <w:jc w:val="center"/>
                  <w:rPr>
                    <w:rFonts w:cs="Arial"/>
                    <w:iCs/>
                    <w:caps/>
                    <w:spacing w:val="46"/>
                  </w:rPr>
                </w:pPr>
                <w:r>
                  <w:rPr>
                    <w:rFonts w:cs="Arial"/>
                    <w:iCs/>
                    <w:caps/>
                    <w:spacing w:val="46"/>
                  </w:rPr>
                  <w:t>ODDělení územního plánování</w:t>
                </w:r>
              </w:p>
              <w:p w:rsidR="00D72E7B" w:rsidRDefault="00D72E7B">
                <w:pPr>
                  <w:jc w:val="center"/>
                  <w:rPr>
                    <w:rFonts w:cs="Arial"/>
                    <w:caps/>
                    <w:spacing w:val="46"/>
                    <w:szCs w:val="20"/>
                  </w:rPr>
                </w:pPr>
                <w:r>
                  <w:rPr>
                    <w:rFonts w:cs="Arial"/>
                    <w:caps/>
                    <w:noProof/>
                    <w:spacing w:val="46"/>
                    <w:szCs w:val="20"/>
                  </w:rPr>
                  <w:drawing>
                    <wp:inline distT="0" distB="0" distL="0" distR="0">
                      <wp:extent cx="6327775" cy="234950"/>
                      <wp:effectExtent l="1905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777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  <w10:anchorlock/>
        </v:shape>
      </w:pict>
    </w:r>
    <w:r w:rsidR="00D72E7B">
      <w:rPr>
        <w:noProof/>
      </w:rPr>
      <w:drawing>
        <wp:inline distT="0" distB="0" distL="0" distR="0">
          <wp:extent cx="7574280" cy="1383665"/>
          <wp:effectExtent l="0" t="0" r="0" b="0"/>
          <wp:docPr id="1" name="obrázek 1" descr="KUHP_PP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HP_PP_hla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8079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E7B" w:rsidRDefault="00D72E7B">
    <w:pPr>
      <w:pStyle w:val="Zhlav"/>
      <w:ind w:left="-851"/>
    </w:pPr>
  </w:p>
  <w:p w:rsidR="00D72E7B" w:rsidRDefault="00D72E7B">
    <w:pPr>
      <w:pStyle w:val="Zhlav"/>
      <w:ind w:left="-851"/>
    </w:pPr>
  </w:p>
  <w:p w:rsidR="00D72E7B" w:rsidRDefault="00D72E7B">
    <w:pPr>
      <w:pStyle w:val="Zhlav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5071F"/>
    <w:multiLevelType w:val="hybridMultilevel"/>
    <w:tmpl w:val="447A7D7C"/>
    <w:lvl w:ilvl="0" w:tplc="64B4DC4A">
      <w:start w:val="1"/>
      <w:numFmt w:val="bullet"/>
      <w:pStyle w:val="Odstavec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F36281"/>
    <w:multiLevelType w:val="hybridMultilevel"/>
    <w:tmpl w:val="86C81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5FF4"/>
    <w:multiLevelType w:val="hybridMultilevel"/>
    <w:tmpl w:val="C4DCE3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0969"/>
    <w:multiLevelType w:val="hybridMultilevel"/>
    <w:tmpl w:val="43A20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A3AA7"/>
    <w:multiLevelType w:val="hybridMultilevel"/>
    <w:tmpl w:val="86C81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32136"/>
    <w:multiLevelType w:val="hybridMultilevel"/>
    <w:tmpl w:val="98B85B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02A86"/>
    <w:multiLevelType w:val="hybridMultilevel"/>
    <w:tmpl w:val="06DEC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2E6"/>
    <w:rsid w:val="0000161F"/>
    <w:rsid w:val="00030104"/>
    <w:rsid w:val="00055A45"/>
    <w:rsid w:val="000562B0"/>
    <w:rsid w:val="000607E0"/>
    <w:rsid w:val="000817FC"/>
    <w:rsid w:val="000B20DF"/>
    <w:rsid w:val="00174CAF"/>
    <w:rsid w:val="001F20E2"/>
    <w:rsid w:val="002418C0"/>
    <w:rsid w:val="002C23B2"/>
    <w:rsid w:val="002F7ED6"/>
    <w:rsid w:val="00314F05"/>
    <w:rsid w:val="003911DC"/>
    <w:rsid w:val="003C718C"/>
    <w:rsid w:val="00406EFA"/>
    <w:rsid w:val="004429EB"/>
    <w:rsid w:val="004B45C9"/>
    <w:rsid w:val="004C2FEC"/>
    <w:rsid w:val="00501E9C"/>
    <w:rsid w:val="005510F3"/>
    <w:rsid w:val="00553AEC"/>
    <w:rsid w:val="00563DAA"/>
    <w:rsid w:val="00564808"/>
    <w:rsid w:val="00586D08"/>
    <w:rsid w:val="00590564"/>
    <w:rsid w:val="005942B1"/>
    <w:rsid w:val="005A0DB7"/>
    <w:rsid w:val="005F2192"/>
    <w:rsid w:val="00691166"/>
    <w:rsid w:val="006E3824"/>
    <w:rsid w:val="007318C9"/>
    <w:rsid w:val="007A6D15"/>
    <w:rsid w:val="007D4661"/>
    <w:rsid w:val="007E0CB3"/>
    <w:rsid w:val="007E37ED"/>
    <w:rsid w:val="00803C6A"/>
    <w:rsid w:val="00884D71"/>
    <w:rsid w:val="008A4CB3"/>
    <w:rsid w:val="008C22E6"/>
    <w:rsid w:val="008E43B4"/>
    <w:rsid w:val="00904536"/>
    <w:rsid w:val="0090780F"/>
    <w:rsid w:val="00935D1E"/>
    <w:rsid w:val="00975E8E"/>
    <w:rsid w:val="009B13CA"/>
    <w:rsid w:val="009B7163"/>
    <w:rsid w:val="009C1FEB"/>
    <w:rsid w:val="009E52DF"/>
    <w:rsid w:val="00A207C8"/>
    <w:rsid w:val="00A30CDC"/>
    <w:rsid w:val="00B758AF"/>
    <w:rsid w:val="00C03D23"/>
    <w:rsid w:val="00C363FE"/>
    <w:rsid w:val="00C650BC"/>
    <w:rsid w:val="00C736A1"/>
    <w:rsid w:val="00C73ADD"/>
    <w:rsid w:val="00CC635A"/>
    <w:rsid w:val="00CE086E"/>
    <w:rsid w:val="00D0260C"/>
    <w:rsid w:val="00D72E7B"/>
    <w:rsid w:val="00DB5880"/>
    <w:rsid w:val="00E33D5C"/>
    <w:rsid w:val="00E63275"/>
    <w:rsid w:val="00E83C53"/>
    <w:rsid w:val="00ED3436"/>
    <w:rsid w:val="00F56B51"/>
    <w:rsid w:val="00F64309"/>
    <w:rsid w:val="00FA7077"/>
    <w:rsid w:val="00FB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536"/>
    <w:pPr>
      <w:jc w:val="both"/>
    </w:pPr>
    <w:rPr>
      <w:rFonts w:ascii="Arial" w:hAnsi="Arial"/>
      <w:szCs w:val="24"/>
    </w:rPr>
  </w:style>
  <w:style w:type="paragraph" w:styleId="Nadpis1">
    <w:name w:val="heading 1"/>
    <w:basedOn w:val="Zkladnodstavec"/>
    <w:next w:val="Normln"/>
    <w:link w:val="Nadpis1Char"/>
    <w:uiPriority w:val="9"/>
    <w:qFormat/>
    <w:rsid w:val="00935D1E"/>
    <w:pPr>
      <w:outlineLvl w:val="0"/>
    </w:pPr>
    <w:rPr>
      <w:rFonts w:cs="Arial"/>
      <w:b/>
      <w:szCs w:val="18"/>
      <w:u w:val="singl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35D1E"/>
    <w:pPr>
      <w:outlineLvl w:val="1"/>
    </w:pPr>
    <w:rPr>
      <w:u w:val="none"/>
    </w:rPr>
  </w:style>
  <w:style w:type="paragraph" w:styleId="Nadpis3">
    <w:name w:val="heading 3"/>
    <w:basedOn w:val="Nadpis1"/>
    <w:next w:val="Normln"/>
    <w:link w:val="Nadpis3Char"/>
    <w:uiPriority w:val="9"/>
    <w:unhideWhenUsed/>
    <w:rsid w:val="00935D1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73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736A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736A1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C73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736A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rsid w:val="00C736A1"/>
    <w:rPr>
      <w:i/>
      <w:iCs/>
    </w:rPr>
  </w:style>
  <w:style w:type="paragraph" w:customStyle="1" w:styleId="Zkladnodstavec">
    <w:name w:val="[Základní odstavec]"/>
    <w:basedOn w:val="Normln"/>
    <w:rsid w:val="00C736A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Odstavecseseznamem">
    <w:name w:val="List Paragraph"/>
    <w:aliases w:val="Odrážky"/>
    <w:basedOn w:val="Normln"/>
    <w:uiPriority w:val="34"/>
    <w:qFormat/>
    <w:rsid w:val="009B13CA"/>
    <w:pPr>
      <w:numPr>
        <w:numId w:val="13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5D1E"/>
    <w:rPr>
      <w:rFonts w:ascii="Arial" w:hAnsi="Arial" w:cs="Arial"/>
      <w:b/>
      <w:color w:val="000000"/>
      <w:szCs w:val="18"/>
      <w:u w:val="single"/>
    </w:rPr>
  </w:style>
  <w:style w:type="character" w:styleId="Zdraznnjemn">
    <w:name w:val="Subtle Emphasis"/>
    <w:basedOn w:val="Standardnpsmoodstavce"/>
    <w:uiPriority w:val="19"/>
    <w:rsid w:val="00935D1E"/>
    <w:rPr>
      <w:i/>
      <w:iCs/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35D1E"/>
    <w:rPr>
      <w:rFonts w:ascii="Arial" w:hAnsi="Arial" w:cs="Arial"/>
      <w:b/>
      <w:color w:val="00000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935D1E"/>
    <w:rPr>
      <w:rFonts w:ascii="Arial" w:hAnsi="Arial" w:cs="Arial"/>
      <w:b/>
      <w:color w:val="000000"/>
      <w:szCs w:val="18"/>
      <w:u w:val="single"/>
    </w:rPr>
  </w:style>
  <w:style w:type="paragraph" w:customStyle="1" w:styleId="Vrok">
    <w:name w:val="Výrok"/>
    <w:basedOn w:val="Normln"/>
    <w:link w:val="VrokChar"/>
    <w:qFormat/>
    <w:rsid w:val="00935D1E"/>
    <w:pPr>
      <w:spacing w:before="240" w:after="240"/>
      <w:jc w:val="center"/>
    </w:pPr>
    <w:rPr>
      <w:rFonts w:cs="Arial"/>
      <w:b/>
      <w:color w:val="000000"/>
      <w:spacing w:val="60"/>
      <w:szCs w:val="18"/>
    </w:rPr>
  </w:style>
  <w:style w:type="paragraph" w:customStyle="1" w:styleId="Normlnslovan">
    <w:name w:val="Normální číslovaný"/>
    <w:basedOn w:val="Normln"/>
    <w:link w:val="NormlnslovanChar"/>
    <w:qFormat/>
    <w:rsid w:val="0000161F"/>
    <w:pPr>
      <w:numPr>
        <w:numId w:val="17"/>
      </w:numPr>
      <w:spacing w:after="240"/>
      <w:ind w:left="357" w:hanging="357"/>
    </w:pPr>
    <w:rPr>
      <w:rFonts w:cs="Arial"/>
      <w:szCs w:val="18"/>
    </w:rPr>
  </w:style>
  <w:style w:type="character" w:customStyle="1" w:styleId="VrokChar">
    <w:name w:val="Výrok Char"/>
    <w:basedOn w:val="Standardnpsmoodstavce"/>
    <w:link w:val="Vrok"/>
    <w:rsid w:val="00935D1E"/>
    <w:rPr>
      <w:rFonts w:ascii="Arial" w:hAnsi="Arial" w:cs="Arial"/>
      <w:b/>
      <w:color w:val="000000"/>
      <w:spacing w:val="60"/>
      <w:szCs w:val="18"/>
    </w:rPr>
  </w:style>
  <w:style w:type="character" w:customStyle="1" w:styleId="NormlnslovanChar">
    <w:name w:val="Normální číslovaný Char"/>
    <w:basedOn w:val="Standardnpsmoodstavce"/>
    <w:link w:val="Normlnslovan"/>
    <w:rsid w:val="0000161F"/>
    <w:rPr>
      <w:rFonts w:ascii="Arial" w:hAnsi="Arial" w:cs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pp_znak_kraje_3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pp_znak_kraje_3r</Template>
  <TotalTime>1</TotalTime>
  <Pages>3</Pages>
  <Words>1061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8</vt:lpstr>
      <vt:lpstr>A+U DESIGN spol. s r.o.</vt:lpstr>
      <vt:lpstr>U Černé věže 9</vt:lpstr>
      <vt:lpstr>České Budějovice</vt:lpstr>
      <vt:lpstr>Částečná revokace upřesňujícího pokynu ke schválenému zadání ÚPVÚC Jihočeského k</vt:lpstr>
    </vt:vector>
  </TitlesOfParts>
  <Company>JIH s.r.o.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Radek Boček</dc:creator>
  <cp:lastModifiedBy>Radek Boček</cp:lastModifiedBy>
  <cp:revision>2</cp:revision>
  <cp:lastPrinted>2011-03-28T12:16:00Z</cp:lastPrinted>
  <dcterms:created xsi:type="dcterms:W3CDTF">2011-05-18T14:06:00Z</dcterms:created>
  <dcterms:modified xsi:type="dcterms:W3CDTF">2011-05-18T14:06:00Z</dcterms:modified>
</cp:coreProperties>
</file>